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ОСО «Томская областная федерация танцевального спорта»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«Утверждено»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Решением президиума ОСО ТОФТС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От 20 апреля 2023 г.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ПОЛОЖЕНИЕ О СОРЕВНОВАНИЯХ СРЕДИ НАЧИНАЮЩИХ СПОРТСМЕНОВ.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ОБЩИЕ ПОЛОЖЕНИЯ.</w:t>
      </w:r>
    </w:p>
    <w:p w:rsidR="00000000" w:rsidDel="00000000" w:rsidP="00000000" w:rsidRDefault="00000000" w:rsidRPr="00000000" w14:paraId="0000000B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Основной целью </w:t>
      </w:r>
      <w:r w:rsidDel="00000000" w:rsidR="00000000" w:rsidRPr="00000000">
        <w:rPr>
          <w:rtl w:val="0"/>
        </w:rPr>
        <w:t xml:space="preserve">проведения турниров среди начинающих спортсменов является популяризация танцевального спорта, а также </w:t>
      </w:r>
      <w:r w:rsidDel="00000000" w:rsidR="00000000" w:rsidRPr="00000000">
        <w:rPr>
          <w:color w:val="000000"/>
          <w:rtl w:val="0"/>
        </w:rPr>
        <w:t xml:space="preserve">создание условий для развития начинающих спортсменов танцоров различных возрастных групп.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Данное положение призвано обеспечить на турнирах среди начинающих спортсменов Томской области соблюдение </w:t>
      </w:r>
      <w:r w:rsidDel="00000000" w:rsidR="00000000" w:rsidRPr="00000000">
        <w:rPr>
          <w:color w:val="000000"/>
          <w:rtl w:val="0"/>
        </w:rPr>
        <w:t xml:space="preserve">условий соревнования между танцорами одного уровня танцевальной подготовки.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8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ВИДЫ ТУРНИРОВ</w:t>
      </w:r>
    </w:p>
    <w:p w:rsidR="00000000" w:rsidDel="00000000" w:rsidP="00000000" w:rsidRDefault="00000000" w:rsidRPr="00000000" w14:paraId="00000010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Турниры среди начинающих спортсменов могут быть двух видов в зависимости от судейских оценок: соревнования по массовому спорту (трехбалльная система оценок) и соревнования по скейтинг системе.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УЧАСТНИКИ.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В соревнованиях среди начинающих спортсменов в программах 2 танца и 4 танца могут принимать участие только пары и соло исполнители, не имеющие Е класса и классификационных книжек из любых клубов и танцевальных коллективов.</w:t>
      </w:r>
    </w:p>
    <w:p w:rsidR="00000000" w:rsidDel="00000000" w:rsidP="00000000" w:rsidRDefault="00000000" w:rsidRPr="00000000" w14:paraId="00000016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В соревнованиях по классу Е0 могут принимать участие пары и соло исполнители, как не имеющие стартовых книжек, так и имеющие их, но не более 0.5 балла в «Д» класс.</w:t>
      </w:r>
    </w:p>
    <w:p w:rsidR="00000000" w:rsidDel="00000000" w:rsidP="00000000" w:rsidRDefault="00000000" w:rsidRPr="00000000" w14:paraId="00000018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Класс пары определяется по классу партнера.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Возрастная категория определяется по старшему спортсмену в паре.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Регистрация на соревнования среди начинающих спортсменов проводится при наличии оригинала свидетельства о рождении или паспорта родителей с соответствующей записью.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ВОЗРАСТНЫЕ КАТЕГОРИИ.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Возрастные категории, по которым проводятся соревнования среди начинающих спортсменов: Дети 5 лет, Дети 6 лет, Дети 7 лет, Дети - 1 (8,9 лет), Дети - 2 (10,11 лет), Юниоры-1, Юниоры-2, Молодёжь, Взрослые и Сеньоры. (Возможно объединение групп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Д-1 и Д-2, Ю-1 и Ю-2, Молодежь и Взрослые . В этих группах идет подсчет очков также, как в отдельных группах)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ПРОГРАММЫ СОРЕВНОВАНИЙ.</w:t>
      </w:r>
    </w:p>
    <w:p w:rsidR="00000000" w:rsidDel="00000000" w:rsidP="00000000" w:rsidRDefault="00000000" w:rsidRPr="00000000" w14:paraId="00000026">
      <w:pPr>
        <w:ind w:left="10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5.1 Соревнования по скейтинг системе.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В программе 2 танца исполняются: медленный вальс и ча-ча-ча.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В программе 4 танца исполняются: медленный вальс, квикстеп, самба, ча-ча-ча.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В программе Е0 </w:t>
      </w:r>
      <w:r w:rsidDel="00000000" w:rsidR="00000000" w:rsidRPr="00000000">
        <w:rPr>
          <w:u w:val="single"/>
          <w:rtl w:val="0"/>
        </w:rPr>
        <w:t xml:space="preserve">обязательно</w:t>
      </w:r>
      <w:r w:rsidDel="00000000" w:rsidR="00000000" w:rsidRPr="00000000">
        <w:rPr>
          <w:rtl w:val="0"/>
        </w:rPr>
        <w:t xml:space="preserve"> исполняются 6 танцев: медленный вальс, венский вальс, квикстеп, самба, ча-ча-ча, джайв. Допускается разделение на отдельные программы.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В соревнованиях среди Молодёжи, Взрослых и Сеньоров могут проводиться соревнования по одному танцу, по 3 танцам Европейской программы, по 3 танцам Латиноамериканской прграммы, по 4 танцам Европейской программы, по 4 танцам Латиноамериканской программы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Во всех возрастных группах могут проводиться соревнования соло.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Организатор соревнований среди начинающих спортсменов на одном соревновании в группах Дети-1 и Дети-2 обязан включить все три программы (2 танца, 4 танца, 6 танцев или 3 и 3 танца).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В соревнованиях по 2 танцам проведение реданса обязательно.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5.2 Соревнования по массовому спорту: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 соревновательном мероприятии по медальной системе могут принимать участие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танцевальные пары и соло-исполнители без ограничений..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b w:val="1"/>
          <w:rtl w:val="0"/>
        </w:rPr>
        <w:t xml:space="preserve"> 5.3 Соревнования по Кубковой системе: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В соревнованиях по Кубковой системе могут участвовать танцевальные пары или соло исполнители  (любого класса сложности мастерства среди начинающих).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При проведении соревнований по Кубковой системе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квалификационные очки для перехода в более высокую категорию не начисляются.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Победители таких соревнований должны награждаться кубком (кубками), призеры – медалями, финалисты – грамотами.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ТАНЦЕВАЛЬНЫЙ КОСТЮМ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Партнер. Рекомендовано.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Рубашка белого цвета с длинным рукавом, простая, не фрачная (из хлопка или смеси хлопка с полиэстером) фабричного производства с простыми мелкими белыми или прозрачными пуговицами. Рубашка должна быть заправлена в брюки.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Брюки только черные. Лампасы черного цвета.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Галстук или бабочка только черные.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Лаковые и кожаные только черные туфли (можно чешки), максимальная высота каблука 2,5 см.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Носки только черные.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Длинные волосы необходимо собрать в хвост.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Партнерша. Рекомендовано.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Белая блузка, трико или футболка с черной юбкой. 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Простое платье одного цвета. Допускается простая отделка и аксессуары (воротник, пояс, цветы в голову) из неблестящего материала.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Юбка простая или со складками, не менее чем из одного, и не более чем из трёх полусолнц, длиной не выше 10 см от середины колена, и не ниже 10 см от нижней линии коленной чашечки.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Простая нижняя юбка.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Туфли лаковые или кожаные (серебряные, золотые), максимальная высота каблука – 3,5 см. (можно чешки)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Колготки телесного цвета. Короткие носки белого цвета.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ФИГУРЫ И КОМПОЗИЦИИ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Танцоры массового спорта и начинающие могут исполнять только фигуры, определенные правилами ФТСАРР  для соответствующих возрастных категорий: Дети-1 не выше Д-класса, Дети-2 не выше С- класса.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Исключение может быть сделано только для пар групп Юниоры 1-2, Молодёжь, Взрослые, Сеньоры.</w:t>
      </w:r>
    </w:p>
    <w:p w:rsidR="00000000" w:rsidDel="00000000" w:rsidP="00000000" w:rsidRDefault="00000000" w:rsidRPr="00000000" w14:paraId="0000005A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108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МУЗЫКАЛЬНОЕ СОПРОВОЖДЕНИЕ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В соответствии с положением ФТСАРР.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108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СУДЬИ</w:t>
      </w:r>
    </w:p>
    <w:p w:rsidR="00000000" w:rsidDel="00000000" w:rsidP="00000000" w:rsidRDefault="00000000" w:rsidRPr="00000000" w14:paraId="0000006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Судейская коллегия формируется по приглашению организаторов из судей, имеющих судейскую категорию ФТСАРР.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Судьи, работающие на турнире, обязаны соблюдать «Кодекс и этические нормы поведения судей ФТСАРР. 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НАЧИСЛЕНИЕ БАЛЛОВ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В соревнованиях по массовому спорту баллы не начисляются. 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Баллы начисляются в соревнованиях по системе скейтинг по итогам турниров, проходящих в городах Томске, Северске и Юрге.</w:t>
      </w:r>
    </w:p>
    <w:p w:rsidR="00000000" w:rsidDel="00000000" w:rsidP="00000000" w:rsidRDefault="00000000" w:rsidRPr="00000000" w14:paraId="0000006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Начисление очков производится в зависимости от количества танцоров ,участвующих в соревновании в соответствии с таблицей.</w:t>
      </w:r>
    </w:p>
    <w:p w:rsidR="00000000" w:rsidDel="00000000" w:rsidP="00000000" w:rsidRDefault="00000000" w:rsidRPr="00000000" w14:paraId="0000006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  <w:tblGridChange w:id="0">
          <w:tblGrid>
            <w:gridCol w:w="934"/>
            <w:gridCol w:w="934"/>
            <w:gridCol w:w="934"/>
            <w:gridCol w:w="934"/>
            <w:gridCol w:w="934"/>
            <w:gridCol w:w="935"/>
            <w:gridCol w:w="935"/>
            <w:gridCol w:w="935"/>
            <w:gridCol w:w="935"/>
            <w:gridCol w:w="93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 и более пар или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– 12 пар или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– 6 пар или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пары или участника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1-2 пары или участника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13- …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7 -…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B7">
      <w:pPr>
        <w:ind w:firstLine="720"/>
        <w:jc w:val="both"/>
        <w:rPr/>
        <w:sectPr>
          <w:pgSz w:h="16838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Результаты публикуются на сайте OSOTOFTS.RU в рейтинговой таблице.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По двум и четырем танцам можно набирать баллы одновременно.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Пара или солист(ка), набравшая в сумме </w:t>
      </w:r>
      <w:r w:rsidDel="00000000" w:rsidR="00000000" w:rsidRPr="00000000">
        <w:rPr>
          <w:b w:val="1"/>
          <w:rtl w:val="0"/>
        </w:rPr>
        <w:t xml:space="preserve">50</w:t>
      </w:r>
      <w:r w:rsidDel="00000000" w:rsidR="00000000" w:rsidRPr="00000000">
        <w:rPr>
          <w:rtl w:val="0"/>
        </w:rPr>
        <w:t xml:space="preserve"> баллов по программе 2 танца, автоматически переводится в следующую категорию - 4 танца.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Пара или солист(ка), набравшая в сумме</w:t>
      </w:r>
      <w:r w:rsidDel="00000000" w:rsidR="00000000" w:rsidRPr="00000000">
        <w:rPr>
          <w:b w:val="1"/>
          <w:rtl w:val="0"/>
        </w:rPr>
        <w:t xml:space="preserve"> 50</w:t>
      </w:r>
      <w:r w:rsidDel="00000000" w:rsidR="00000000" w:rsidRPr="00000000">
        <w:rPr>
          <w:rtl w:val="0"/>
        </w:rPr>
        <w:t xml:space="preserve"> баллов по программе 4 танцев автоматически переводится в категорию - 6 танцев.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Пара или солист(ка), набравшая в сумме </w:t>
      </w:r>
      <w:r w:rsidDel="00000000" w:rsidR="00000000" w:rsidRPr="00000000">
        <w:rPr>
          <w:b w:val="1"/>
          <w:rtl w:val="0"/>
        </w:rPr>
        <w:t xml:space="preserve">50</w:t>
      </w:r>
      <w:r w:rsidDel="00000000" w:rsidR="00000000" w:rsidRPr="00000000">
        <w:rPr>
          <w:rtl w:val="0"/>
        </w:rPr>
        <w:t xml:space="preserve"> баллов по программе 6 танцев автоматически переводится в категорию спортсменов Е класса и вносится в базу данных ФТСАРР.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  <w:t xml:space="preserve">В случае образования новой пары, учитывается большее количество баллов партнера или партнерши.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  <w:t xml:space="preserve">Ответственность за выполнение данного положения несут организатор и главный судья соревнований и старшие тренеры танцевально-спортивных клубов.</w:t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Примечание.</w:t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  <w:t xml:space="preserve">Баллы подсчитываются с 22 апреля 2023 года, положение вступает в силу с 24 апреля 2023 года.</w:t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    16. 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Переход спортсменов (Е кл.) из спорта высших достижений обратно в начинающие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  <w:t xml:space="preserve"> Для обратного перехода необходимо;</w:t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 1. Заявление от руководителя танцевального клуба с изложением причины обратного перехода.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  <w:t xml:space="preserve"> 2. Участие в соревнованиях среди начинающих только по программе 6-ти и более танцев.</w:t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247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autoSpaceDE w:val="0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заголовок 1"/>
    <w:basedOn w:val="a"/>
    <w:next w:val="a"/>
    <w:pPr>
      <w:keepNext w:val="1"/>
      <w:spacing w:after="60" w:before="240"/>
    </w:pPr>
    <w:rPr>
      <w:rFonts w:ascii="Arial" w:cs="Arial" w:hAnsi="Arial"/>
      <w:b w:val="1"/>
      <w:bCs w:val="1"/>
      <w:kern w:val="3"/>
      <w:sz w:val="32"/>
      <w:szCs w:val="32"/>
    </w:rPr>
  </w:style>
  <w:style w:type="paragraph" w:styleId="2" w:customStyle="1">
    <w:name w:val="заголовок 2"/>
    <w:basedOn w:val="a"/>
    <w:next w:val="a"/>
    <w:pPr>
      <w:keepNext w:val="1"/>
    </w:pPr>
    <w:rPr>
      <w:b w:val="1"/>
      <w:bCs w:val="1"/>
      <w:lang w:val="en-US"/>
    </w:rPr>
  </w:style>
  <w:style w:type="character" w:styleId="a3" w:customStyle="1">
    <w:name w:val="Основной шрифт"/>
  </w:style>
  <w:style w:type="paragraph" w:styleId="a4">
    <w:name w:val="Body Text"/>
    <w:basedOn w:val="a"/>
    <w:rPr>
      <w:sz w:val="26"/>
      <w:szCs w:val="26"/>
    </w:rPr>
  </w:style>
  <w:style w:type="character" w:styleId="a5" w:customStyle="1">
    <w:name w:val="Основной текст Знак"/>
    <w:basedOn w:val="a0"/>
    <w:rPr>
      <w:sz w:val="24"/>
      <w:szCs w:val="24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30" w:customStyle="1">
    <w:name w:val="Основной текст 3 Знак"/>
    <w:basedOn w:val="a0"/>
    <w:rPr>
      <w:rFonts w:cs="Times New Roman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1"/>
    </w:pPr>
    <w:rPr>
      <w:sz w:val="20"/>
      <w:szCs w:val="20"/>
    </w:rPr>
  </w:style>
  <w:style w:type="character" w:styleId="a7" w:customStyle="1">
    <w:name w:val="Верхний колонтитул Знак"/>
    <w:basedOn w:val="a0"/>
    <w:rPr>
      <w:rFonts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autoSpaceDE w:val="1"/>
      <w:jc w:val="both"/>
    </w:pPr>
    <w:rPr>
      <w:sz w:val="28"/>
    </w:rPr>
  </w:style>
  <w:style w:type="character" w:styleId="a9" w:customStyle="1">
    <w:name w:val="Нижний колонтитул Знак"/>
    <w:basedOn w:val="a0"/>
    <w:rPr>
      <w:rFonts w:cs="Times New Roman"/>
      <w:sz w:val="24"/>
      <w:szCs w:val="24"/>
    </w:rPr>
  </w:style>
  <w:style w:type="paragraph" w:styleId="aa">
    <w:name w:val="Document Map"/>
    <w:basedOn w:val="a"/>
    <w:rPr>
      <w:rFonts w:ascii="Tahoma" w:cs="Tahoma" w:hAnsi="Tahoma"/>
      <w:sz w:val="16"/>
      <w:szCs w:val="16"/>
    </w:rPr>
  </w:style>
  <w:style w:type="character" w:styleId="ab" w:customStyle="1">
    <w:name w:val="Схема документа Знак"/>
    <w:basedOn w:val="a0"/>
    <w:rPr>
      <w:rFonts w:ascii="Tahoma" w:cs="Tahoma" w:hAnsi="Tahoma"/>
      <w:sz w:val="16"/>
      <w:szCs w:val="16"/>
    </w:rPr>
  </w:style>
  <w:style w:type="paragraph" w:styleId="ac">
    <w:name w:val="No Spacing"/>
    <w:pPr>
      <w:suppressAutoHyphens w:val="1"/>
      <w:autoSpaceDE w:val="0"/>
    </w:pPr>
    <w:rPr>
      <w:sz w:val="24"/>
      <w:szCs w:val="24"/>
    </w:rPr>
  </w:style>
  <w:style w:type="character" w:styleId="skypepnhmark" w:customStyle="1">
    <w:name w:val="skype_pnh_mark"/>
    <w:basedOn w:val="a0"/>
    <w:rPr>
      <w:rFonts w:cs="Times New Roman"/>
      <w:vanish w:val="1"/>
      <w:color w:val="aa0000"/>
    </w:rPr>
  </w:style>
  <w:style w:type="character" w:styleId="skypepnhcontainer" w:customStyle="1">
    <w:name w:val="skype_pnh_container"/>
    <w:basedOn w:val="a0"/>
    <w:rPr>
      <w:rFonts w:cs="Times New Roman"/>
      <w:color w:val="aa0000"/>
    </w:rPr>
  </w:style>
  <w:style w:type="character" w:styleId="skypepnhtextspan" w:customStyle="1">
    <w:name w:val="skype_pnh_text_span"/>
    <w:basedOn w:val="a0"/>
    <w:rPr>
      <w:rFonts w:cs="Times New Roman"/>
      <w:color w:val="aa0000"/>
    </w:rPr>
  </w:style>
  <w:style w:type="character" w:styleId="skypepnhrightspan" w:customStyle="1">
    <w:name w:val="skype_pnh_right_span"/>
    <w:basedOn w:val="a0"/>
    <w:rPr>
      <w:rFonts w:cs="Times New Roman"/>
      <w:color w:val="aa0000"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Normal (Web)"/>
    <w:basedOn w:val="a"/>
    <w:pPr>
      <w:autoSpaceDE w:val="1"/>
      <w:spacing w:after="100" w:before="100"/>
    </w:pPr>
  </w:style>
  <w:style w:type="table" w:styleId="af">
    <w:name w:val="Table Grid"/>
    <w:basedOn w:val="a1"/>
    <w:uiPriority w:val="39"/>
    <w:rsid w:val="00CE4C4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3gYEOLJYnPBjT4ukJc0NrS3qQ==">CgMxLjAyCGguZ2pkZ3hzOAByITFVNjJySjNUVDlCRTNNNzhSMnlsQUl4ekcwRXFZbnd1OA==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2023-04-19T16:35:00Z</dcterms:created>
  <dc:creator>Глушков Аким Юрьевич.</dc:creator>
</cp:coreProperties>
</file>